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705F" w14:textId="6087CEDD" w:rsidR="00627647" w:rsidRPr="00627647" w:rsidRDefault="00627647" w:rsidP="00F01F86">
      <w:pPr>
        <w:rPr>
          <w:b/>
          <w:bCs/>
          <w:szCs w:val="24"/>
        </w:rPr>
      </w:pPr>
      <w:r w:rsidRPr="00627647">
        <w:rPr>
          <w:b/>
          <w:bCs/>
          <w:szCs w:val="24"/>
        </w:rPr>
        <w:t>Instructions for the abstract</w:t>
      </w:r>
    </w:p>
    <w:p w14:paraId="615F82D7" w14:textId="77777777" w:rsidR="00627647" w:rsidRDefault="00627647" w:rsidP="00F01F86">
      <w:pPr>
        <w:rPr>
          <w:szCs w:val="24"/>
        </w:rPr>
      </w:pPr>
    </w:p>
    <w:p w14:paraId="4DFABB11" w14:textId="0BF547A8" w:rsidR="00627647" w:rsidRDefault="00627647" w:rsidP="00F01F86">
      <w:pPr>
        <w:rPr>
          <w:szCs w:val="24"/>
        </w:rPr>
      </w:pPr>
      <w:r>
        <w:rPr>
          <w:szCs w:val="24"/>
        </w:rPr>
        <w:t>250 words maximum.</w:t>
      </w:r>
    </w:p>
    <w:p w14:paraId="1EABFC25" w14:textId="1FDBCAAB" w:rsidR="00627647" w:rsidRDefault="00627647" w:rsidP="00F01F86">
      <w:pPr>
        <w:rPr>
          <w:szCs w:val="24"/>
        </w:rPr>
      </w:pPr>
      <w:r>
        <w:rPr>
          <w:szCs w:val="24"/>
        </w:rPr>
        <w:t xml:space="preserve">Font: Times New Roman, 12 point.  Title is in </w:t>
      </w:r>
      <w:r w:rsidRPr="00627647">
        <w:rPr>
          <w:b/>
          <w:bCs/>
          <w:szCs w:val="24"/>
        </w:rPr>
        <w:t>bold</w:t>
      </w:r>
      <w:r>
        <w:rPr>
          <w:szCs w:val="24"/>
        </w:rPr>
        <w:t>.</w:t>
      </w:r>
    </w:p>
    <w:p w14:paraId="71326F1D" w14:textId="5BCABCBD" w:rsidR="00627647" w:rsidRDefault="00627647" w:rsidP="00F01F86">
      <w:pPr>
        <w:rPr>
          <w:szCs w:val="24"/>
        </w:rPr>
      </w:pPr>
      <w:r>
        <w:rPr>
          <w:szCs w:val="24"/>
        </w:rPr>
        <w:t>Justify right and left margins.</w:t>
      </w:r>
    </w:p>
    <w:p w14:paraId="2EEE2178" w14:textId="0BB78E28" w:rsidR="00627647" w:rsidRDefault="00627647" w:rsidP="00F01F86">
      <w:pPr>
        <w:rPr>
          <w:szCs w:val="24"/>
        </w:rPr>
      </w:pPr>
      <w:r>
        <w:rPr>
          <w:szCs w:val="24"/>
        </w:rPr>
        <w:t>Underline presenting author’s name.</w:t>
      </w:r>
    </w:p>
    <w:p w14:paraId="5FFE8064" w14:textId="2F9069C8" w:rsidR="00627647" w:rsidRDefault="00627647" w:rsidP="00F01F86">
      <w:pPr>
        <w:rPr>
          <w:szCs w:val="24"/>
        </w:rPr>
      </w:pPr>
      <w:r>
        <w:rPr>
          <w:szCs w:val="24"/>
        </w:rPr>
        <w:t>Give the email address for correspondence.</w:t>
      </w:r>
    </w:p>
    <w:p w14:paraId="21D27CC7" w14:textId="5236EAD5" w:rsidR="00627647" w:rsidRDefault="00627647" w:rsidP="00F01F86">
      <w:pPr>
        <w:rPr>
          <w:szCs w:val="24"/>
        </w:rPr>
      </w:pPr>
      <w:r>
        <w:rPr>
          <w:szCs w:val="24"/>
        </w:rPr>
        <w:t>Indicate affiliation of each author.</w:t>
      </w:r>
    </w:p>
    <w:p w14:paraId="3D4F845D" w14:textId="77777777" w:rsidR="00627647" w:rsidRDefault="00627647" w:rsidP="00F01F86">
      <w:pPr>
        <w:rPr>
          <w:szCs w:val="24"/>
        </w:rPr>
      </w:pPr>
    </w:p>
    <w:p w14:paraId="0D9ECF8D" w14:textId="77777777" w:rsidR="00627647" w:rsidRDefault="00627647" w:rsidP="00F01F86">
      <w:pPr>
        <w:rPr>
          <w:szCs w:val="24"/>
        </w:rPr>
      </w:pPr>
    </w:p>
    <w:p w14:paraId="6ABF308F" w14:textId="43B6C8B9" w:rsidR="00627647" w:rsidRDefault="00627647" w:rsidP="00F01F86">
      <w:pPr>
        <w:rPr>
          <w:szCs w:val="24"/>
        </w:rPr>
      </w:pPr>
    </w:p>
    <w:p w14:paraId="563F34D3" w14:textId="590A2F28" w:rsidR="00627647" w:rsidRDefault="0034491C" w:rsidP="00F01F86">
      <w:pPr>
        <w:rPr>
          <w:szCs w:val="24"/>
        </w:rPr>
      </w:pPr>
      <w:r>
        <w:rPr>
          <w:szCs w:val="24"/>
        </w:rPr>
        <w:t xml:space="preserve">Example abstract. </w:t>
      </w:r>
    </w:p>
    <w:p w14:paraId="3A2D331E" w14:textId="77777777" w:rsidR="00627647" w:rsidRDefault="00627647" w:rsidP="00F01F86">
      <w:pPr>
        <w:rPr>
          <w:szCs w:val="24"/>
        </w:rPr>
      </w:pPr>
    </w:p>
    <w:p w14:paraId="1D53BFB4" w14:textId="77777777" w:rsidR="00627647" w:rsidRDefault="00627647" w:rsidP="00F01F86">
      <w:pPr>
        <w:rPr>
          <w:szCs w:val="24"/>
        </w:rPr>
      </w:pPr>
    </w:p>
    <w:p w14:paraId="24F0C365" w14:textId="730EE428" w:rsidR="00372CB0" w:rsidRPr="00627647" w:rsidRDefault="00372CB0" w:rsidP="00627647">
      <w:pPr>
        <w:jc w:val="both"/>
        <w:rPr>
          <w:b/>
          <w:bCs/>
          <w:szCs w:val="24"/>
        </w:rPr>
      </w:pPr>
      <w:r w:rsidRPr="00627647">
        <w:rPr>
          <w:b/>
          <w:bCs/>
          <w:szCs w:val="24"/>
        </w:rPr>
        <w:t xml:space="preserve">Newly recruited coralline algae perform better than their </w:t>
      </w:r>
      <w:r w:rsidR="004861C5" w:rsidRPr="00627647">
        <w:rPr>
          <w:b/>
          <w:bCs/>
          <w:szCs w:val="24"/>
        </w:rPr>
        <w:t xml:space="preserve">parents under </w:t>
      </w:r>
      <w:r w:rsidRPr="00627647">
        <w:rPr>
          <w:b/>
          <w:bCs/>
          <w:szCs w:val="24"/>
        </w:rPr>
        <w:t xml:space="preserve">ocean acidification: phytobenthic community development under static and fluctuating </w:t>
      </w:r>
      <w:proofErr w:type="gramStart"/>
      <w:r w:rsidRPr="00627647">
        <w:rPr>
          <w:b/>
          <w:bCs/>
          <w:szCs w:val="24"/>
        </w:rPr>
        <w:t>pH</w:t>
      </w:r>
      <w:proofErr w:type="gramEnd"/>
      <w:r w:rsidRPr="00627647">
        <w:rPr>
          <w:b/>
          <w:bCs/>
          <w:szCs w:val="24"/>
        </w:rPr>
        <w:t xml:space="preserve"> </w:t>
      </w:r>
    </w:p>
    <w:p w14:paraId="4384B3D6" w14:textId="77777777" w:rsidR="00372CB0" w:rsidRPr="00F01F86" w:rsidRDefault="00372CB0" w:rsidP="00627647">
      <w:pPr>
        <w:jc w:val="both"/>
        <w:rPr>
          <w:rStyle w:val="SubtleEmphasis"/>
          <w:i w:val="0"/>
          <w:szCs w:val="24"/>
        </w:rPr>
      </w:pPr>
    </w:p>
    <w:p w14:paraId="54F3F0C8" w14:textId="77777777" w:rsidR="00F01F86" w:rsidRPr="00372CB0" w:rsidRDefault="00F01F86" w:rsidP="00627647">
      <w:pPr>
        <w:jc w:val="both"/>
        <w:rPr>
          <w:rStyle w:val="SubtleEmphasis"/>
          <w:i w:val="0"/>
          <w:szCs w:val="24"/>
        </w:rPr>
      </w:pPr>
      <w:r w:rsidRPr="00372CB0">
        <w:rPr>
          <w:rStyle w:val="SubtleEmphasis"/>
          <w:i w:val="0"/>
          <w:szCs w:val="24"/>
        </w:rPr>
        <w:t>Michael Y. Roleda</w:t>
      </w:r>
      <w:r w:rsidRPr="00372CB0">
        <w:rPr>
          <w:rStyle w:val="SubtleEmphasis"/>
          <w:i w:val="0"/>
          <w:szCs w:val="24"/>
          <w:vertAlign w:val="superscript"/>
        </w:rPr>
        <w:t>1</w:t>
      </w:r>
      <w:r w:rsidR="00D63F20">
        <w:rPr>
          <w:rStyle w:val="SubtleEmphasis"/>
          <w:i w:val="0"/>
          <w:szCs w:val="24"/>
          <w:vertAlign w:val="superscript"/>
        </w:rPr>
        <w:t>,2</w:t>
      </w:r>
      <w:r w:rsidRPr="00372CB0">
        <w:rPr>
          <w:rStyle w:val="SubtleEmphasis"/>
          <w:i w:val="0"/>
          <w:szCs w:val="24"/>
        </w:rPr>
        <w:t>, Christopher E. Cornwall</w:t>
      </w:r>
      <w:r w:rsidR="00D63F20">
        <w:rPr>
          <w:rStyle w:val="SubtleEmphasis"/>
          <w:i w:val="0"/>
          <w:szCs w:val="24"/>
          <w:vertAlign w:val="superscript"/>
        </w:rPr>
        <w:t>1,3</w:t>
      </w:r>
      <w:r w:rsidRPr="00372CB0">
        <w:rPr>
          <w:rStyle w:val="SubtleEmphasis"/>
          <w:i w:val="0"/>
          <w:szCs w:val="24"/>
        </w:rPr>
        <w:t xml:space="preserve"> and Christina M. McGraw</w:t>
      </w:r>
      <w:r w:rsidR="00D63F20">
        <w:rPr>
          <w:rStyle w:val="SubtleEmphasis"/>
          <w:i w:val="0"/>
          <w:szCs w:val="24"/>
          <w:vertAlign w:val="superscript"/>
        </w:rPr>
        <w:t>3</w:t>
      </w:r>
      <w:r w:rsidR="000F71B4">
        <w:rPr>
          <w:rStyle w:val="SubtleEmphasis"/>
          <w:i w:val="0"/>
          <w:szCs w:val="24"/>
        </w:rPr>
        <w:t xml:space="preserve">, </w:t>
      </w:r>
      <w:r w:rsidR="000F71B4" w:rsidRPr="000F71B4">
        <w:rPr>
          <w:rStyle w:val="SubtleEmphasis"/>
          <w:i w:val="0"/>
          <w:szCs w:val="24"/>
          <w:u w:val="single"/>
        </w:rPr>
        <w:t>Catriona L.</w:t>
      </w:r>
      <w:r w:rsidR="000F71B4" w:rsidRPr="00372CB0">
        <w:rPr>
          <w:rStyle w:val="SubtleEmphasis"/>
          <w:i w:val="0"/>
          <w:szCs w:val="24"/>
        </w:rPr>
        <w:t xml:space="preserve"> </w:t>
      </w:r>
      <w:r w:rsidR="000F71B4" w:rsidRPr="00372CB0">
        <w:rPr>
          <w:rStyle w:val="SubtleEmphasis"/>
          <w:i w:val="0"/>
          <w:szCs w:val="24"/>
          <w:u w:val="single"/>
        </w:rPr>
        <w:t>Hurd</w:t>
      </w:r>
      <w:r w:rsidR="00D63F20">
        <w:rPr>
          <w:rStyle w:val="SubtleEmphasis"/>
          <w:i w:val="0"/>
          <w:szCs w:val="24"/>
          <w:vertAlign w:val="superscript"/>
        </w:rPr>
        <w:t>1,3</w:t>
      </w:r>
    </w:p>
    <w:p w14:paraId="2D6912E8" w14:textId="77777777" w:rsidR="00F01F86" w:rsidRPr="00372CB0" w:rsidRDefault="00F01F86" w:rsidP="00627647">
      <w:pPr>
        <w:jc w:val="both"/>
        <w:rPr>
          <w:rStyle w:val="SubtleEmphasis"/>
          <w:i w:val="0"/>
          <w:szCs w:val="24"/>
        </w:rPr>
      </w:pPr>
    </w:p>
    <w:p w14:paraId="3307177D" w14:textId="77777777" w:rsidR="00F01F86" w:rsidRDefault="00F01F86" w:rsidP="00627647">
      <w:pPr>
        <w:jc w:val="both"/>
      </w:pPr>
      <w:r w:rsidRPr="00372CB0">
        <w:rPr>
          <w:vertAlign w:val="superscript"/>
        </w:rPr>
        <w:t>1</w:t>
      </w:r>
      <w:r w:rsidRPr="00372CB0">
        <w:t>Department of Botany, University of Otago, PO Box 56, Dunedin, New Zealand</w:t>
      </w:r>
    </w:p>
    <w:p w14:paraId="321CDBA5" w14:textId="77777777" w:rsidR="0023548D" w:rsidRDefault="0023548D" w:rsidP="00627647">
      <w:pPr>
        <w:jc w:val="both"/>
        <w:rPr>
          <w:rFonts w:asciiTheme="majorBidi" w:hAnsiTheme="majorBidi" w:cstheme="majorBidi"/>
          <w:szCs w:val="24"/>
          <w:vertAlign w:val="superscript"/>
        </w:rPr>
      </w:pPr>
    </w:p>
    <w:p w14:paraId="18231C7D" w14:textId="77777777" w:rsidR="0023548D" w:rsidRDefault="00D63F20" w:rsidP="00627647">
      <w:pPr>
        <w:jc w:val="both"/>
        <w:rPr>
          <w:rFonts w:asciiTheme="majorBidi" w:hAnsiTheme="majorBidi" w:cstheme="majorBidi"/>
          <w:szCs w:val="24"/>
          <w:lang w:val="en-US"/>
        </w:rPr>
      </w:pPr>
      <w:r w:rsidRPr="0023548D">
        <w:rPr>
          <w:rFonts w:asciiTheme="majorBidi" w:hAnsiTheme="majorBidi" w:cstheme="majorBidi"/>
          <w:szCs w:val="24"/>
          <w:vertAlign w:val="superscript"/>
        </w:rPr>
        <w:t>2</w:t>
      </w:r>
      <w:proofErr w:type="spellStart"/>
      <w:r w:rsidR="0023548D" w:rsidRPr="0023548D">
        <w:rPr>
          <w:rFonts w:asciiTheme="majorBidi" w:hAnsiTheme="majorBidi" w:cstheme="majorBidi"/>
          <w:szCs w:val="24"/>
          <w:lang w:val="en-US"/>
        </w:rPr>
        <w:t>Bioforsk</w:t>
      </w:r>
      <w:proofErr w:type="spellEnd"/>
      <w:r w:rsidR="0023548D" w:rsidRPr="0023548D">
        <w:rPr>
          <w:rFonts w:asciiTheme="majorBidi" w:hAnsiTheme="majorBidi" w:cstheme="majorBidi"/>
          <w:szCs w:val="24"/>
          <w:lang w:val="en-US"/>
        </w:rPr>
        <w:t xml:space="preserve"> Norwegian Institute for Agricultural and Environmental Research, </w:t>
      </w:r>
      <w:proofErr w:type="spellStart"/>
      <w:r w:rsidR="0023548D" w:rsidRPr="0023548D">
        <w:rPr>
          <w:rFonts w:asciiTheme="majorBidi" w:hAnsiTheme="majorBidi" w:cstheme="majorBidi"/>
          <w:szCs w:val="24"/>
          <w:lang w:val="en-US"/>
        </w:rPr>
        <w:t>Kudalsveien</w:t>
      </w:r>
      <w:proofErr w:type="spellEnd"/>
      <w:r w:rsidR="0023548D" w:rsidRPr="0023548D">
        <w:rPr>
          <w:rFonts w:asciiTheme="majorBidi" w:hAnsiTheme="majorBidi" w:cstheme="majorBidi"/>
          <w:szCs w:val="24"/>
          <w:lang w:val="en-US"/>
        </w:rPr>
        <w:t xml:space="preserve"> 6, 8049 </w:t>
      </w:r>
      <w:proofErr w:type="spellStart"/>
      <w:r w:rsidR="0023548D" w:rsidRPr="0023548D">
        <w:rPr>
          <w:rFonts w:asciiTheme="majorBidi" w:hAnsiTheme="majorBidi" w:cstheme="majorBidi"/>
          <w:szCs w:val="24"/>
          <w:lang w:val="en-US"/>
        </w:rPr>
        <w:t>Bodø</w:t>
      </w:r>
      <w:proofErr w:type="spellEnd"/>
      <w:r w:rsidR="0023548D" w:rsidRPr="0023548D">
        <w:rPr>
          <w:rFonts w:asciiTheme="majorBidi" w:hAnsiTheme="majorBidi" w:cstheme="majorBidi"/>
          <w:szCs w:val="24"/>
          <w:lang w:val="en-US"/>
        </w:rPr>
        <w:t>, Norway</w:t>
      </w:r>
    </w:p>
    <w:p w14:paraId="1608AF32" w14:textId="77777777" w:rsidR="0023548D" w:rsidRDefault="0023548D" w:rsidP="00627647">
      <w:pPr>
        <w:jc w:val="both"/>
        <w:rPr>
          <w:vertAlign w:val="superscript"/>
        </w:rPr>
      </w:pPr>
    </w:p>
    <w:p w14:paraId="6635C516" w14:textId="77777777" w:rsidR="00F01F86" w:rsidRPr="00372CB0" w:rsidRDefault="00D63F20" w:rsidP="00627647">
      <w:pPr>
        <w:jc w:val="both"/>
      </w:pPr>
      <w:r>
        <w:rPr>
          <w:vertAlign w:val="superscript"/>
        </w:rPr>
        <w:t>3</w:t>
      </w:r>
      <w:r w:rsidR="00F01F86" w:rsidRPr="00372CB0">
        <w:t>Institute for Marine and Antarctic Studies, University of Tasmania, Hobart, TAS, Australia</w:t>
      </w:r>
    </w:p>
    <w:p w14:paraId="37D6D87A" w14:textId="77777777" w:rsidR="00F01F86" w:rsidRDefault="00F01F86" w:rsidP="00627647">
      <w:pPr>
        <w:jc w:val="both"/>
      </w:pPr>
    </w:p>
    <w:p w14:paraId="483B80FC" w14:textId="77777777" w:rsidR="0023548D" w:rsidRPr="00372CB0" w:rsidRDefault="0023548D" w:rsidP="00627647">
      <w:pPr>
        <w:jc w:val="both"/>
      </w:pPr>
    </w:p>
    <w:p w14:paraId="2DD01405" w14:textId="77777777" w:rsidR="00F01F86" w:rsidRPr="00372CB0" w:rsidRDefault="00F01F86" w:rsidP="00627647">
      <w:pPr>
        <w:jc w:val="both"/>
      </w:pPr>
      <w:r w:rsidRPr="00372CB0">
        <w:t xml:space="preserve">Correspondence: Catriona L. Hurd, </w:t>
      </w:r>
      <w:r w:rsidRPr="00372CB0">
        <w:rPr>
          <w:u w:val="single"/>
        </w:rPr>
        <w:t>Catriona.Hurd@utas.edu.au</w:t>
      </w:r>
    </w:p>
    <w:p w14:paraId="229CE0CE" w14:textId="77777777" w:rsidR="00F01F86" w:rsidRPr="00372CB0" w:rsidRDefault="00F01F86" w:rsidP="00627647">
      <w:pPr>
        <w:jc w:val="both"/>
      </w:pPr>
    </w:p>
    <w:p w14:paraId="77690245" w14:textId="77777777" w:rsidR="00092D85" w:rsidRPr="006E6D4C" w:rsidRDefault="00092D85" w:rsidP="00627647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Coralline algae are considered the most susceptible group of calcifying organisms to ocean acidification (OA), and may be replaced by non-calcifying fleshy seaweed in a future, low pH, ocean.  We followed the growth and development of a coralline alga, </w:t>
      </w:r>
      <w:r w:rsidRPr="00273D3B">
        <w:rPr>
          <w:rFonts w:asciiTheme="majorBidi" w:hAnsiTheme="majorBidi" w:cstheme="majorBidi"/>
          <w:i/>
          <w:iCs/>
          <w:szCs w:val="24"/>
        </w:rPr>
        <w:t>Arthrocardia corymbosa</w:t>
      </w:r>
      <w:r w:rsidRPr="0027357B">
        <w:rPr>
          <w:rFonts w:asciiTheme="majorBidi" w:hAnsiTheme="majorBidi" w:cstheme="majorBidi"/>
          <w:iCs/>
          <w:szCs w:val="24"/>
        </w:rPr>
        <w:t>,</w:t>
      </w:r>
      <w:r>
        <w:rPr>
          <w:rFonts w:asciiTheme="majorBidi" w:hAnsiTheme="majorBidi" w:cstheme="majorBidi"/>
          <w:szCs w:val="24"/>
        </w:rPr>
        <w:t xml:space="preserve"> and associated algae (diatoms, fleshy algae) that </w:t>
      </w:r>
      <w:r w:rsidR="0074760E">
        <w:rPr>
          <w:rFonts w:asciiTheme="majorBidi" w:hAnsiTheme="majorBidi" w:cstheme="majorBidi"/>
          <w:szCs w:val="24"/>
        </w:rPr>
        <w:t xml:space="preserve">had </w:t>
      </w:r>
      <w:r>
        <w:rPr>
          <w:rFonts w:asciiTheme="majorBidi" w:hAnsiTheme="majorBidi" w:cstheme="majorBidi"/>
          <w:szCs w:val="24"/>
        </w:rPr>
        <w:t>recruited during a prior experiment</w:t>
      </w:r>
      <w:r w:rsidR="0074760E">
        <w:rPr>
          <w:rFonts w:asciiTheme="majorBidi" w:hAnsiTheme="majorBidi" w:cstheme="majorBidi"/>
          <w:szCs w:val="24"/>
        </w:rPr>
        <w:t xml:space="preserve"> (Cornwall et al. 2013).  R</w:t>
      </w:r>
      <w:r>
        <w:rPr>
          <w:rFonts w:asciiTheme="majorBidi" w:hAnsiTheme="majorBidi" w:cstheme="majorBidi"/>
          <w:szCs w:val="24"/>
        </w:rPr>
        <w:t xml:space="preserve">ecruits were </w:t>
      </w:r>
      <w:r w:rsidRPr="006E6D4C">
        <w:rPr>
          <w:rFonts w:asciiTheme="majorBidi" w:hAnsiTheme="majorBidi" w:cstheme="majorBidi"/>
          <w:szCs w:val="24"/>
        </w:rPr>
        <w:t xml:space="preserve">cultivated </w:t>
      </w:r>
      <w:r>
        <w:rPr>
          <w:rFonts w:asciiTheme="majorBidi" w:hAnsiTheme="majorBidi" w:cstheme="majorBidi"/>
          <w:szCs w:val="24"/>
        </w:rPr>
        <w:t xml:space="preserve">for 15 weeks, under identical experimental conditions </w:t>
      </w:r>
      <w:r w:rsidR="0074760E">
        <w:rPr>
          <w:rFonts w:asciiTheme="majorBidi" w:hAnsiTheme="majorBidi" w:cstheme="majorBidi"/>
          <w:szCs w:val="24"/>
        </w:rPr>
        <w:t xml:space="preserve">to those previously </w:t>
      </w:r>
      <w:r>
        <w:rPr>
          <w:rFonts w:asciiTheme="majorBidi" w:hAnsiTheme="majorBidi" w:cstheme="majorBidi"/>
          <w:szCs w:val="24"/>
        </w:rPr>
        <w:t>experienced by the parents</w:t>
      </w:r>
      <w:r w:rsidRPr="006E6D4C">
        <w:rPr>
          <w:rFonts w:asciiTheme="majorBidi" w:hAnsiTheme="majorBidi" w:cstheme="majorBidi"/>
          <w:szCs w:val="24"/>
        </w:rPr>
        <w:t xml:space="preserve">: static pH 8.05 and 7.65and </w:t>
      </w:r>
      <w:r>
        <w:rPr>
          <w:rFonts w:asciiTheme="majorBidi" w:hAnsiTheme="majorBidi" w:cstheme="majorBidi"/>
          <w:szCs w:val="24"/>
        </w:rPr>
        <w:t xml:space="preserve">two </w:t>
      </w:r>
      <w:r w:rsidRPr="006E6D4C">
        <w:rPr>
          <w:rFonts w:asciiTheme="majorBidi" w:hAnsiTheme="majorBidi" w:cstheme="majorBidi"/>
          <w:szCs w:val="24"/>
        </w:rPr>
        <w:t xml:space="preserve">fluctuating pH </w:t>
      </w:r>
      <w:r>
        <w:rPr>
          <w:rFonts w:asciiTheme="majorBidi" w:hAnsiTheme="majorBidi" w:cstheme="majorBidi"/>
          <w:szCs w:val="24"/>
        </w:rPr>
        <w:t>treatments</w:t>
      </w:r>
      <w:r w:rsidR="0074760E">
        <w:rPr>
          <w:rFonts w:asciiTheme="majorBidi" w:hAnsiTheme="majorBidi" w:cstheme="majorBidi"/>
          <w:szCs w:val="24"/>
        </w:rPr>
        <w:t xml:space="preserve"> of</w:t>
      </w:r>
      <w:r>
        <w:rPr>
          <w:rFonts w:asciiTheme="majorBidi" w:hAnsiTheme="majorBidi" w:cstheme="majorBidi"/>
          <w:szCs w:val="24"/>
        </w:rPr>
        <w:t xml:space="preserve"> </w:t>
      </w:r>
      <w:r w:rsidRPr="006E6D4C">
        <w:rPr>
          <w:rFonts w:asciiTheme="majorBidi" w:hAnsiTheme="majorBidi" w:cstheme="majorBidi"/>
          <w:szCs w:val="24"/>
        </w:rPr>
        <w:t xml:space="preserve">daily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Cs w:val="24"/>
              </w:rPr>
              <m:t>x</m:t>
            </m:r>
          </m:e>
        </m:acc>
      </m:oMath>
      <w:r w:rsidRPr="006E6D4C">
        <w:rPr>
          <w:rFonts w:asciiTheme="majorBidi" w:hAnsiTheme="majorBidi" w:cstheme="majorBidi"/>
          <w:szCs w:val="24"/>
        </w:rPr>
        <w:t xml:space="preserve"> = 8.05</w:t>
      </w:r>
      <w:r w:rsidR="0074760E">
        <w:rPr>
          <w:rFonts w:asciiTheme="majorBidi" w:hAnsiTheme="majorBidi" w:cstheme="majorBidi"/>
          <w:szCs w:val="24"/>
        </w:rPr>
        <w:t xml:space="preserve"> ± 0.4 </w:t>
      </w:r>
      <w:r w:rsidRPr="006E6D4C">
        <w:rPr>
          <w:rFonts w:asciiTheme="majorBidi" w:hAnsiTheme="majorBidi" w:cstheme="majorBidi"/>
          <w:szCs w:val="24"/>
        </w:rPr>
        <w:t xml:space="preserve">and daily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Cs w:val="24"/>
              </w:rPr>
              <m:t>x</m:t>
            </m:r>
          </m:e>
        </m:acc>
      </m:oMath>
      <w:r w:rsidRPr="006E6D4C">
        <w:rPr>
          <w:rFonts w:asciiTheme="majorBidi" w:hAnsiTheme="majorBidi" w:cstheme="majorBidi"/>
          <w:szCs w:val="24"/>
        </w:rPr>
        <w:t xml:space="preserve"> = 7.65</w:t>
      </w:r>
      <w:r w:rsidR="0074760E">
        <w:rPr>
          <w:rFonts w:asciiTheme="majorBidi" w:hAnsiTheme="majorBidi" w:cstheme="majorBidi"/>
          <w:szCs w:val="24"/>
        </w:rPr>
        <w:t xml:space="preserve"> ± 0.4</w:t>
      </w:r>
      <w:r w:rsidRPr="006E6D4C">
        <w:rPr>
          <w:rFonts w:asciiTheme="majorBidi" w:hAnsiTheme="majorBidi" w:cstheme="majorBidi"/>
          <w:szCs w:val="24"/>
        </w:rPr>
        <w:t xml:space="preserve">. </w:t>
      </w:r>
      <w:r>
        <w:rPr>
          <w:rFonts w:asciiTheme="majorBidi" w:hAnsiTheme="majorBidi" w:cstheme="majorBidi"/>
          <w:szCs w:val="24"/>
        </w:rPr>
        <w:t xml:space="preserve">New recruits of </w:t>
      </w:r>
      <w:r w:rsidRPr="006E6D4C">
        <w:rPr>
          <w:rFonts w:asciiTheme="majorBidi" w:hAnsiTheme="majorBidi" w:cstheme="majorBidi"/>
          <w:i/>
          <w:szCs w:val="24"/>
        </w:rPr>
        <w:t>A</w:t>
      </w:r>
      <w:r w:rsidRPr="006E6D4C"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6E6D4C">
        <w:rPr>
          <w:rFonts w:asciiTheme="majorBidi" w:hAnsiTheme="majorBidi" w:cstheme="majorBidi"/>
          <w:i/>
          <w:szCs w:val="24"/>
        </w:rPr>
        <w:t>corymbosa</w:t>
      </w:r>
      <w:proofErr w:type="spellEnd"/>
      <w:r w:rsidRPr="006E6D4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grew </w:t>
      </w:r>
      <w:r w:rsidR="00066FE4">
        <w:rPr>
          <w:rFonts w:asciiTheme="majorBidi" w:hAnsiTheme="majorBidi" w:cstheme="majorBidi"/>
          <w:szCs w:val="24"/>
        </w:rPr>
        <w:t xml:space="preserve">initially </w:t>
      </w:r>
      <w:r>
        <w:rPr>
          <w:rFonts w:asciiTheme="majorBidi" w:hAnsiTheme="majorBidi" w:cstheme="majorBidi"/>
          <w:szCs w:val="24"/>
        </w:rPr>
        <w:t xml:space="preserve">as a </w:t>
      </w:r>
      <w:r w:rsidRPr="006E6D4C">
        <w:rPr>
          <w:rFonts w:asciiTheme="majorBidi" w:hAnsiTheme="majorBidi" w:cstheme="majorBidi"/>
          <w:szCs w:val="24"/>
        </w:rPr>
        <w:t>crust</w:t>
      </w:r>
      <w:r>
        <w:rPr>
          <w:rFonts w:asciiTheme="majorBidi" w:hAnsiTheme="majorBidi" w:cstheme="majorBidi"/>
          <w:szCs w:val="24"/>
        </w:rPr>
        <w:t xml:space="preserve">, and a positive growth rate was measured for all treatments: growth rate was highest under </w:t>
      </w:r>
      <w:r w:rsidRPr="006E6D4C">
        <w:rPr>
          <w:rFonts w:asciiTheme="majorBidi" w:hAnsiTheme="majorBidi" w:cstheme="majorBidi"/>
          <w:szCs w:val="24"/>
        </w:rPr>
        <w:t>static pH 8.05 and lowest under fluctuating pH 7.65</w:t>
      </w:r>
      <w:r>
        <w:rPr>
          <w:rFonts w:asciiTheme="majorBidi" w:hAnsiTheme="majorBidi" w:cstheme="majorBidi"/>
          <w:szCs w:val="24"/>
        </w:rPr>
        <w:t xml:space="preserve">. </w:t>
      </w:r>
      <w:r w:rsidR="0074760E">
        <w:rPr>
          <w:rFonts w:asciiTheme="majorBidi" w:hAnsiTheme="majorBidi" w:cstheme="majorBidi"/>
          <w:szCs w:val="24"/>
        </w:rPr>
        <w:t>Th</w:t>
      </w:r>
      <w:r w:rsidR="00066FE4">
        <w:rPr>
          <w:rFonts w:asciiTheme="majorBidi" w:hAnsiTheme="majorBidi" w:cstheme="majorBidi"/>
          <w:szCs w:val="24"/>
        </w:rPr>
        <w:t>is</w:t>
      </w:r>
      <w:r>
        <w:rPr>
          <w:rFonts w:asciiTheme="majorBidi" w:hAnsiTheme="majorBidi" w:cstheme="majorBidi"/>
          <w:szCs w:val="24"/>
        </w:rPr>
        <w:t xml:space="preserve"> </w:t>
      </w:r>
      <w:r w:rsidR="0074760E">
        <w:rPr>
          <w:rFonts w:asciiTheme="majorBidi" w:hAnsiTheme="majorBidi" w:cstheme="majorBidi"/>
          <w:szCs w:val="24"/>
        </w:rPr>
        <w:t xml:space="preserve">overall </w:t>
      </w:r>
      <w:r>
        <w:rPr>
          <w:rFonts w:asciiTheme="majorBidi" w:hAnsiTheme="majorBidi" w:cstheme="majorBidi"/>
          <w:szCs w:val="24"/>
        </w:rPr>
        <w:t>pattern was similar to the adults</w:t>
      </w:r>
      <w:r w:rsidR="00066FE4">
        <w:rPr>
          <w:rFonts w:asciiTheme="majorBidi" w:hAnsiTheme="majorBidi" w:cstheme="majorBidi"/>
          <w:szCs w:val="24"/>
        </w:rPr>
        <w:t xml:space="preserve"> except </w:t>
      </w:r>
      <w:r>
        <w:rPr>
          <w:rFonts w:asciiTheme="majorBidi" w:hAnsiTheme="majorBidi" w:cstheme="majorBidi"/>
          <w:szCs w:val="24"/>
        </w:rPr>
        <w:t xml:space="preserve">adults had </w:t>
      </w:r>
      <w:r w:rsidR="00AA1C78">
        <w:rPr>
          <w:rFonts w:asciiTheme="majorBidi" w:hAnsiTheme="majorBidi" w:cstheme="majorBidi"/>
          <w:szCs w:val="24"/>
        </w:rPr>
        <w:t xml:space="preserve">zero </w:t>
      </w:r>
      <w:r>
        <w:rPr>
          <w:rFonts w:asciiTheme="majorBidi" w:hAnsiTheme="majorBidi" w:cstheme="majorBidi"/>
          <w:szCs w:val="24"/>
        </w:rPr>
        <w:t xml:space="preserve">growth </w:t>
      </w:r>
      <w:r w:rsidR="0074760E">
        <w:rPr>
          <w:rFonts w:asciiTheme="majorBidi" w:hAnsiTheme="majorBidi" w:cstheme="majorBidi"/>
          <w:szCs w:val="24"/>
        </w:rPr>
        <w:t xml:space="preserve">under </w:t>
      </w:r>
      <w:r w:rsidR="00066FE4">
        <w:rPr>
          <w:rFonts w:asciiTheme="majorBidi" w:hAnsiTheme="majorBidi" w:cstheme="majorBidi"/>
          <w:szCs w:val="24"/>
        </w:rPr>
        <w:t xml:space="preserve">fluctuating </w:t>
      </w:r>
      <w:r>
        <w:rPr>
          <w:rFonts w:asciiTheme="majorBidi" w:hAnsiTheme="majorBidi" w:cstheme="majorBidi"/>
          <w:szCs w:val="24"/>
        </w:rPr>
        <w:t xml:space="preserve">pH 7.65. </w:t>
      </w:r>
      <w:r w:rsidR="0074760E">
        <w:rPr>
          <w:rFonts w:asciiTheme="majorBidi" w:hAnsiTheme="majorBidi" w:cstheme="majorBidi"/>
          <w:szCs w:val="24"/>
        </w:rPr>
        <w:t xml:space="preserve"> </w:t>
      </w:r>
      <w:r w:rsidRPr="006E6D4C">
        <w:rPr>
          <w:rFonts w:asciiTheme="majorBidi" w:hAnsiTheme="majorBidi" w:cstheme="majorBidi"/>
          <w:szCs w:val="24"/>
        </w:rPr>
        <w:t xml:space="preserve">The </w:t>
      </w:r>
      <w:r>
        <w:rPr>
          <w:rFonts w:asciiTheme="majorBidi" w:hAnsiTheme="majorBidi" w:cstheme="majorBidi"/>
          <w:szCs w:val="24"/>
        </w:rPr>
        <w:t>%</w:t>
      </w:r>
      <w:r w:rsidRPr="006E6D4C">
        <w:rPr>
          <w:rFonts w:asciiTheme="majorBidi" w:hAnsiTheme="majorBidi" w:cstheme="majorBidi"/>
          <w:szCs w:val="24"/>
        </w:rPr>
        <w:t xml:space="preserve">Mg-calcite of </w:t>
      </w:r>
      <w:r>
        <w:rPr>
          <w:rFonts w:asciiTheme="majorBidi" w:hAnsiTheme="majorBidi" w:cstheme="majorBidi"/>
          <w:szCs w:val="24"/>
        </w:rPr>
        <w:t xml:space="preserve">the </w:t>
      </w:r>
      <w:r w:rsidRPr="006E6D4C">
        <w:rPr>
          <w:rFonts w:asciiTheme="majorBidi" w:hAnsiTheme="majorBidi" w:cstheme="majorBidi"/>
          <w:szCs w:val="24"/>
        </w:rPr>
        <w:t>juvenile</w:t>
      </w:r>
      <w:r w:rsidR="00066FE4">
        <w:rPr>
          <w:rFonts w:asciiTheme="majorBidi" w:hAnsiTheme="majorBidi" w:cstheme="majorBidi"/>
          <w:szCs w:val="24"/>
        </w:rPr>
        <w:t>s</w:t>
      </w:r>
      <w:r w:rsidRPr="006E6D4C">
        <w:rPr>
          <w:rFonts w:asciiTheme="majorBidi" w:hAnsiTheme="majorBidi" w:cstheme="majorBidi"/>
          <w:szCs w:val="24"/>
        </w:rPr>
        <w:t xml:space="preserve"> was reduced </w:t>
      </w:r>
      <w:r w:rsidR="00066FE4">
        <w:rPr>
          <w:rFonts w:asciiTheme="majorBidi" w:hAnsiTheme="majorBidi" w:cstheme="majorBidi"/>
          <w:szCs w:val="24"/>
        </w:rPr>
        <w:t>from 13% at pH 8.05 to 10% at pH 7.65</w:t>
      </w:r>
      <w:r>
        <w:rPr>
          <w:rFonts w:asciiTheme="majorBidi" w:hAnsiTheme="majorBidi" w:cstheme="majorBidi"/>
          <w:szCs w:val="24"/>
        </w:rPr>
        <w:t>, but there was no effect of pH fluctuation on % Mg-calcite</w:t>
      </w:r>
      <w:r w:rsidRPr="006E6D4C">
        <w:rPr>
          <w:rFonts w:asciiTheme="majorBidi" w:hAnsiTheme="majorBidi" w:cstheme="majorBidi"/>
          <w:szCs w:val="24"/>
        </w:rPr>
        <w:t xml:space="preserve">. </w:t>
      </w:r>
      <w:r>
        <w:rPr>
          <w:rFonts w:asciiTheme="majorBidi" w:hAnsiTheme="majorBidi" w:cstheme="majorBidi"/>
          <w:szCs w:val="24"/>
        </w:rPr>
        <w:t xml:space="preserve">For adults, there was no effect of pH treatment on </w:t>
      </w:r>
      <w:r w:rsidR="0074760E">
        <w:rPr>
          <w:rFonts w:asciiTheme="majorBidi" w:hAnsiTheme="majorBidi" w:cstheme="majorBidi"/>
          <w:szCs w:val="24"/>
        </w:rPr>
        <w:t>% Mg-calcite</w:t>
      </w:r>
      <w:r>
        <w:rPr>
          <w:rFonts w:asciiTheme="majorBidi" w:hAnsiTheme="majorBidi" w:cstheme="majorBidi"/>
          <w:szCs w:val="24"/>
        </w:rPr>
        <w:t xml:space="preserve">. A wide range of other algae recruited across all experimental treatments including </w:t>
      </w:r>
      <w:r w:rsidRPr="006E6D4C">
        <w:rPr>
          <w:rFonts w:asciiTheme="majorBidi" w:hAnsiTheme="majorBidi" w:cstheme="majorBidi"/>
          <w:szCs w:val="24"/>
        </w:rPr>
        <w:t>benthic diatoms (</w:t>
      </w:r>
      <w:proofErr w:type="spellStart"/>
      <w:r w:rsidRPr="006E6D4C">
        <w:rPr>
          <w:rFonts w:asciiTheme="majorBidi" w:hAnsiTheme="majorBidi" w:cstheme="majorBidi"/>
          <w:i/>
          <w:szCs w:val="24"/>
        </w:rPr>
        <w:t>Navicula</w:t>
      </w:r>
      <w:proofErr w:type="spellEnd"/>
      <w:r w:rsidRPr="006E6D4C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6E6D4C">
        <w:rPr>
          <w:rFonts w:asciiTheme="majorBidi" w:hAnsiTheme="majorBidi" w:cstheme="majorBidi"/>
          <w:i/>
          <w:szCs w:val="24"/>
        </w:rPr>
        <w:t>Cocconeis</w:t>
      </w:r>
      <w:proofErr w:type="spellEnd"/>
      <w:r w:rsidRPr="006E6D4C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6E6D4C">
        <w:rPr>
          <w:rFonts w:asciiTheme="majorBidi" w:hAnsiTheme="majorBidi" w:cstheme="majorBidi"/>
          <w:i/>
          <w:szCs w:val="24"/>
        </w:rPr>
        <w:t>Nitzschia</w:t>
      </w:r>
      <w:proofErr w:type="spellEnd"/>
      <w:r w:rsidRPr="006E6D4C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6E6D4C">
        <w:rPr>
          <w:rFonts w:asciiTheme="majorBidi" w:hAnsiTheme="majorBidi" w:cstheme="majorBidi"/>
          <w:i/>
          <w:szCs w:val="24"/>
        </w:rPr>
        <w:t>Fallacia</w:t>
      </w:r>
      <w:proofErr w:type="spellEnd"/>
      <w:r w:rsidRPr="006E6D4C">
        <w:rPr>
          <w:rFonts w:asciiTheme="majorBidi" w:hAnsiTheme="majorBidi" w:cstheme="majorBidi"/>
          <w:i/>
          <w:szCs w:val="24"/>
        </w:rPr>
        <w:t xml:space="preserve">, </w:t>
      </w:r>
      <w:proofErr w:type="spellStart"/>
      <w:r w:rsidRPr="006E6D4C">
        <w:rPr>
          <w:rFonts w:asciiTheme="majorBidi" w:hAnsiTheme="majorBidi" w:cstheme="majorBidi"/>
          <w:i/>
          <w:szCs w:val="24"/>
        </w:rPr>
        <w:t>Achnanthes</w:t>
      </w:r>
      <w:proofErr w:type="spellEnd"/>
      <w:r w:rsidR="00E02FDC">
        <w:rPr>
          <w:rFonts w:asciiTheme="majorBidi" w:hAnsiTheme="majorBidi" w:cstheme="majorBidi"/>
          <w:i/>
          <w:szCs w:val="24"/>
        </w:rPr>
        <w:t>,</w:t>
      </w:r>
      <w:r w:rsidRPr="006E6D4C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E6D4C">
        <w:rPr>
          <w:rFonts w:asciiTheme="majorBidi" w:hAnsiTheme="majorBidi" w:cstheme="majorBidi"/>
          <w:i/>
          <w:szCs w:val="24"/>
        </w:rPr>
        <w:t>Cylindrotheca</w:t>
      </w:r>
      <w:proofErr w:type="spellEnd"/>
      <w:r w:rsidRPr="006E6D4C">
        <w:rPr>
          <w:rFonts w:asciiTheme="majorBidi" w:hAnsiTheme="majorBidi" w:cstheme="majorBidi"/>
          <w:szCs w:val="24"/>
        </w:rPr>
        <w:t xml:space="preserve">) and juvenile fleshy macroalgae (e.g. </w:t>
      </w:r>
      <w:r w:rsidRPr="006E6D4C">
        <w:rPr>
          <w:rFonts w:asciiTheme="majorBidi" w:hAnsiTheme="majorBidi" w:cstheme="majorBidi"/>
          <w:i/>
          <w:szCs w:val="24"/>
        </w:rPr>
        <w:t>Durvillaea</w:t>
      </w:r>
      <w:r w:rsidRPr="006E6D4C">
        <w:rPr>
          <w:rFonts w:asciiTheme="majorBidi" w:hAnsiTheme="majorBidi" w:cstheme="majorBidi"/>
          <w:szCs w:val="24"/>
        </w:rPr>
        <w:t xml:space="preserve"> sp., </w:t>
      </w:r>
      <w:proofErr w:type="spellStart"/>
      <w:r w:rsidRPr="006E6D4C">
        <w:rPr>
          <w:rFonts w:asciiTheme="majorBidi" w:hAnsiTheme="majorBidi" w:cstheme="majorBidi"/>
          <w:i/>
          <w:szCs w:val="24"/>
        </w:rPr>
        <w:t>Desmarestia</w:t>
      </w:r>
      <w:proofErr w:type="spellEnd"/>
      <w:r w:rsidRPr="006E6D4C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E6D4C">
        <w:rPr>
          <w:rFonts w:asciiTheme="majorBidi" w:hAnsiTheme="majorBidi" w:cstheme="majorBidi"/>
          <w:i/>
          <w:szCs w:val="24"/>
        </w:rPr>
        <w:t>lingulata</w:t>
      </w:r>
      <w:proofErr w:type="spellEnd"/>
      <w:r w:rsidRPr="006E6D4C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6E6D4C">
        <w:rPr>
          <w:rFonts w:asciiTheme="majorBidi" w:hAnsiTheme="majorBidi" w:cstheme="majorBidi"/>
          <w:i/>
          <w:szCs w:val="24"/>
        </w:rPr>
        <w:t>Dictyota</w:t>
      </w:r>
      <w:proofErr w:type="spellEnd"/>
      <w:r w:rsidRPr="006E6D4C">
        <w:rPr>
          <w:rFonts w:asciiTheme="majorBidi" w:hAnsiTheme="majorBidi" w:cstheme="majorBidi"/>
          <w:szCs w:val="24"/>
        </w:rPr>
        <w:t xml:space="preserve"> sp., brown and green</w:t>
      </w:r>
      <w:r w:rsidR="00E02FDC">
        <w:rPr>
          <w:rFonts w:asciiTheme="majorBidi" w:hAnsiTheme="majorBidi" w:cstheme="majorBidi"/>
          <w:szCs w:val="24"/>
        </w:rPr>
        <w:t xml:space="preserve"> turfs</w:t>
      </w:r>
      <w:r w:rsidRPr="006E6D4C">
        <w:rPr>
          <w:rFonts w:asciiTheme="majorBidi" w:hAnsiTheme="majorBidi" w:cstheme="majorBidi"/>
          <w:szCs w:val="24"/>
        </w:rPr>
        <w:t xml:space="preserve">). </w:t>
      </w:r>
      <w:r>
        <w:rPr>
          <w:rFonts w:asciiTheme="majorBidi" w:hAnsiTheme="majorBidi" w:cstheme="majorBidi"/>
          <w:szCs w:val="24"/>
        </w:rPr>
        <w:t>Results suggest that juvenile corallines can adapt to OA, and that OA alone may not cause a switch from coralline to non-</w:t>
      </w:r>
      <w:r w:rsidR="00066FE4">
        <w:rPr>
          <w:rFonts w:asciiTheme="majorBidi" w:hAnsiTheme="majorBidi" w:cstheme="majorBidi"/>
          <w:szCs w:val="24"/>
        </w:rPr>
        <w:t xml:space="preserve">calcifying </w:t>
      </w:r>
      <w:r>
        <w:rPr>
          <w:rFonts w:asciiTheme="majorBidi" w:hAnsiTheme="majorBidi" w:cstheme="majorBidi"/>
          <w:szCs w:val="24"/>
        </w:rPr>
        <w:t xml:space="preserve">algal communities.  </w:t>
      </w:r>
    </w:p>
    <w:p w14:paraId="1288FD31" w14:textId="77777777" w:rsidR="00092D85" w:rsidRPr="00955EF4" w:rsidRDefault="00092D85" w:rsidP="00627647">
      <w:pPr>
        <w:jc w:val="both"/>
        <w:rPr>
          <w:rFonts w:ascii="Arial" w:hAnsi="Arial" w:cs="Arial"/>
        </w:rPr>
      </w:pPr>
    </w:p>
    <w:sectPr w:rsidR="00092D85" w:rsidRPr="00955EF4" w:rsidSect="00F01F86">
      <w:pgSz w:w="11900" w:h="16840"/>
      <w:pgMar w:top="1134" w:right="1418" w:bottom="1418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86"/>
    <w:rsid w:val="00066FE4"/>
    <w:rsid w:val="00092D85"/>
    <w:rsid w:val="000F71B4"/>
    <w:rsid w:val="0023548D"/>
    <w:rsid w:val="0034491C"/>
    <w:rsid w:val="00372CB0"/>
    <w:rsid w:val="004861C5"/>
    <w:rsid w:val="00627647"/>
    <w:rsid w:val="0074760E"/>
    <w:rsid w:val="00925A4F"/>
    <w:rsid w:val="00AA1C78"/>
    <w:rsid w:val="00C81A73"/>
    <w:rsid w:val="00D63F20"/>
    <w:rsid w:val="00D816E1"/>
    <w:rsid w:val="00E02FDC"/>
    <w:rsid w:val="00F0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1239"/>
  <w15:docId w15:val="{62E698F8-E814-450D-A555-BA13F60E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1F8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01F86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D85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A1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C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C7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C78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4DC6F2E624445AA8DC8742E6AB49A" ma:contentTypeVersion="13" ma:contentTypeDescription="Create a new document." ma:contentTypeScope="" ma:versionID="bca6a779769f3440cc00713b0cebf750">
  <xsd:schema xmlns:xsd="http://www.w3.org/2001/XMLSchema" xmlns:xs="http://www.w3.org/2001/XMLSchema" xmlns:p="http://schemas.microsoft.com/office/2006/metadata/properties" xmlns:ns2="4ad3dc22-aa0e-4099-807a-0c1c4fb73ccc" xmlns:ns3="8f5a6fad-05a1-4ef7-8ee5-9f2e981853c0" targetNamespace="http://schemas.microsoft.com/office/2006/metadata/properties" ma:root="true" ma:fieldsID="b7ae81fd838a91be3be993f5ce7aed63" ns2:_="" ns3:_="">
    <xsd:import namespace="4ad3dc22-aa0e-4099-807a-0c1c4fb73ccc"/>
    <xsd:import namespace="8f5a6fad-05a1-4ef7-8ee5-9f2e98185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3dc22-aa0e-4099-807a-0c1c4fb7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6fad-05a1-4ef7-8ee5-9f2e98185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5741AD-E1A4-4A73-8F86-9FF271328A8C}"/>
</file>

<file path=customXml/itemProps2.xml><?xml version="1.0" encoding="utf-8"?>
<ds:datastoreItem xmlns:ds="http://schemas.openxmlformats.org/officeDocument/2006/customXml" ds:itemID="{5596EA82-A3F9-4ECA-85AF-5C705224D4B1}"/>
</file>

<file path=customXml/itemProps3.xml><?xml version="1.0" encoding="utf-8"?>
<ds:datastoreItem xmlns:ds="http://schemas.openxmlformats.org/officeDocument/2006/customXml" ds:itemID="{863408D6-A50D-4C4D-8901-475F859BD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Resources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</dc:creator>
  <cp:lastModifiedBy>Chelsea Burdon</cp:lastModifiedBy>
  <cp:revision>2</cp:revision>
  <dcterms:created xsi:type="dcterms:W3CDTF">2021-05-03T06:08:00Z</dcterms:created>
  <dcterms:modified xsi:type="dcterms:W3CDTF">2021-05-03T06:08:00Z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0x010100A8A4DC6F2E624445AA8DC8742E6AB49A</vt:lpwstr>
  </property>
</Properties>
</file>